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BB" w:rsidRPr="00152F01" w:rsidRDefault="00D470BB" w:rsidP="00D470BB">
      <w:pPr>
        <w:jc w:val="lef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bCs/>
          <w:iCs/>
          <w:color w:val="000000" w:themeColor="text1"/>
          <w:sz w:val="20"/>
          <w:szCs w:val="20"/>
        </w:rPr>
        <w:t>Znak postępowania : A.331-1/2022</w:t>
      </w:r>
    </w:p>
    <w:p w:rsidR="00D470BB" w:rsidRPr="00152F01" w:rsidRDefault="00D470BB" w:rsidP="00D470BB">
      <w:pPr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bCs/>
          <w:iCs/>
          <w:color w:val="000000" w:themeColor="text1"/>
          <w:sz w:val="20"/>
          <w:szCs w:val="20"/>
        </w:rPr>
        <w:t>Załącznik nr 2 do SWZ</w:t>
      </w:r>
    </w:p>
    <w:p w:rsidR="00D470BB" w:rsidRPr="00152F01" w:rsidRDefault="00D470BB" w:rsidP="00D470BB">
      <w:pPr>
        <w:pStyle w:val="Nagwek1"/>
        <w:numPr>
          <w:ilvl w:val="0"/>
          <w:numId w:val="0"/>
        </w:numPr>
        <w:ind w:left="-56"/>
        <w:jc w:val="center"/>
        <w:rPr>
          <w:rFonts w:ascii="Arial" w:hAnsi="Arial" w:cs="Arial"/>
          <w:sz w:val="20"/>
          <w:szCs w:val="20"/>
        </w:rPr>
      </w:pPr>
      <w:r w:rsidRPr="00152F01">
        <w:rPr>
          <w:rFonts w:ascii="Arial" w:hAnsi="Arial" w:cs="Arial"/>
          <w:sz w:val="20"/>
          <w:szCs w:val="20"/>
        </w:rPr>
        <w:t>Istotne postanowienia umowy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Podstawą do zawarcia umowy jest oferta wybrana w postępowaniu o udzielenie zamówienia publicznego w trybie podstawowym zgodnie z ustawą z dnia 11 września 2019 r. Prawo zamówień publicznych (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Dz. U. z 2022 poz. 1710</w:t>
      </w:r>
      <w:r w:rsidR="004214D4" w:rsidRPr="00152F01">
        <w:rPr>
          <w:rFonts w:ascii="Arial" w:hAnsi="Arial" w:cs="Arial"/>
          <w:color w:val="000000" w:themeColor="text1"/>
          <w:sz w:val="20"/>
          <w:szCs w:val="20"/>
        </w:rPr>
        <w:t xml:space="preserve"> ze zm.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Sprzedaż energii elektrycznej oraz świadczenie usług dystrybucji przez Wykonawcę odbywać się ma na warunkach określonych przepisami ustawy z dnia 10.04.1997 r. Prawo energetyczne (Dz. U. z 2022 r. poz. 1385 z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</w:rPr>
        <w:t>. zm.), zgodnie z obowiązującymi rozporządzeniami do ww. ustawy,  przepisami ustawy z dnia 23.04.1964 r. – Kodeks cywilny (Dz. U. z 2022 r., poz. 1360 ze zm.) oraz zasadami określonymi w koncesji.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Wykonawca oświadcza, że posiada koncesję na obrót energią elektryczną wydaną przez Prezesa Urzędu Regulacji Energetyki. Ponadto Wykonawca oświadcza, że posiada umowę o świadczeniu usług dystrybucji umożliwiającą sprzedaż energii elektrycznej do obiektów Zamawiającego.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 oświadcza, że posiada tytuł prawny do obiektów wymienionych w załączniku nr 1 do umowy – tabela PPE.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 określa charakterystykę elektroenergetyczną odbioru, miejsca dostarczania energii elektrycznej w załączniku nr 1 do umowy stanowiącego integralną część umowy.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Strony ustalają, że umowa wchodzi w życie z dniem podpisania, jednak rozpoczęcie sprzedaży energii elektrycznej nastąpi, nie wcześniej, niż po spełnieniu wszystkich warunków przyłączenia do sieci OSD, oraz nie wcześniej niż z dniem wejścia w życie umowy kompleksowej sprzedaży energii elektrycznej wraz z świadczeniem usług dystrybucji.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Termin realizacji umowy: od 01.01.2023 r. do 31.12.2023 r.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Rozliczenie za energię elektryczną odbywać się będzie zgodnie z obowiązującą Ofertą Wykonawcy obowiązującą dla przedmiotu zamówienia na podstawie danych przekazanych od OSD oraz zgodnie z aktualną taryfą dystrybucyjną.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Wykonawca zobowiązany jest do bilansowania handlowego, poprzez rozliczanie niezbilansowania powstałego pomiędzy zgłoszonym wolumenem energii w ramach Umowy, a rzeczywiście zakupioną energią elektryczną w okresach rozliczeniowych, w ramach ustalonej ceny za sprzedaną energię elektryczną Zamawiającego.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Wykonawca oświadcza, iż do obliczenia ceny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zastosował 100 % ceny taryfowej aktualnej taryfy dystrybucji Operatora Systemu Dystrybucyjnego zatwierdzonej przez Prezesa Urzędu Regulacji Energetyki, który będzie obowiązywał w całym okresie obowiązywania Umowy. Cena za dystrybucję może ulec zmianie w przypadku zmiany powyższej taryfy dystrybucji. Możliwość dokonania takiej zmiany została przewidziana w treści SWZ.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Rozliczenie za sprzedaną energię elektryczną i usługę dystrybucji odbywać się będzie na podstawie faktycznego zużycia energii wg wskazań układu pomiarowo-rozliczeniowego w okresie rozliczeniowym. 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Rozliczenia za energię elektryczną dokonywane będą zgodnie z</w:t>
      </w:r>
      <w:r w:rsidR="00CB44D5" w:rsidRPr="00152F01">
        <w:rPr>
          <w:rFonts w:ascii="Arial" w:hAnsi="Arial" w:cs="Arial"/>
          <w:color w:val="000000" w:themeColor="text1"/>
          <w:sz w:val="20"/>
          <w:szCs w:val="20"/>
        </w:rPr>
        <w:t xml:space="preserve"> jednomiesięcznym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okresem rozliczeniowym w oparciu o fakturę wystawioną przez Wykonawcę.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Po upływie okresu rozliczeniowego realizacji przedmiotu zamówienia, Wykonawca wystawi faktury za poprzedni okres z tytułu kompleksowej usługi dostawy energii elektrycznej i świadczenia usług dystrybucji, które będą zawierać m.in. wyszczególnienie wszystkich pozycji kosztowych.</w:t>
      </w:r>
    </w:p>
    <w:p w:rsidR="00D470BB" w:rsidRPr="00152F01" w:rsidRDefault="00D470BB" w:rsidP="002B13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Wykonawca zobowiązany jest do udzielania bonifikat za niedotrzymanie standardów jakościowych obsługi odbiorców oraz niedotrzymanie przez OSD parametrów jakościowych energii elektrycznej, w terminie 30 dni od dnia, w którym zaistniała przesłanka do ich naliczenia.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Faktury za energię elektryczną w okresach rozliczeniowych należy wystawić na nabywcę – Książnica Podlaska im. Łukasza Górnickiego w Białymstoku, ul. M. Curie – Skłodowskiej 14A, 15-097 Białystok , NIP</w:t>
      </w:r>
      <w:r w:rsidRPr="00152F01">
        <w:rPr>
          <w:rFonts w:ascii="Arial" w:hAnsi="Arial" w:cs="Arial"/>
          <w:sz w:val="20"/>
          <w:szCs w:val="20"/>
        </w:rPr>
        <w:t>: 542-21-24-069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zgodnie z poniższym wskazaniem:</w:t>
      </w:r>
    </w:p>
    <w:p w:rsidR="00EB1A41" w:rsidRPr="00F438BC" w:rsidRDefault="00F438BC" w:rsidP="00F438BC">
      <w:pPr>
        <w:pStyle w:val="Akapitzlist"/>
        <w:numPr>
          <w:ilvl w:val="0"/>
          <w:numId w:val="3"/>
        </w:numPr>
        <w:spacing w:line="276" w:lineRule="auto"/>
        <w:ind w:left="709" w:right="-2" w:hanging="283"/>
        <w:rPr>
          <w:rFonts w:ascii="Arial" w:hAnsi="Arial" w:cs="Arial"/>
          <w:color w:val="000000" w:themeColor="text1"/>
          <w:sz w:val="20"/>
          <w:szCs w:val="20"/>
        </w:rPr>
      </w:pPr>
      <w:r w:rsidRPr="00F438BC">
        <w:rPr>
          <w:rFonts w:ascii="Arial" w:hAnsi="Arial" w:cs="Arial"/>
          <w:color w:val="000000" w:themeColor="text1"/>
          <w:sz w:val="20"/>
          <w:szCs w:val="20"/>
        </w:rPr>
        <w:t xml:space="preserve">Wykonawca będzie wystawiał osobne faktury ze szczegółami rozliczenia dla każdego PPE </w:t>
      </w:r>
      <w:r w:rsidRPr="00F438BC">
        <w:rPr>
          <w:rFonts w:ascii="Arial" w:hAnsi="Arial" w:cs="Arial"/>
          <w:color w:val="000000" w:themeColor="text1"/>
          <w:sz w:val="20"/>
          <w:szCs w:val="20"/>
          <w:highlight w:val="cyan"/>
        </w:rPr>
        <w:t xml:space="preserve">lub jedną zbiorczą fakturę dla wszystkich PPE z załącznikiem zawierającym wyszczególnienie </w:t>
      </w:r>
      <w:r w:rsidRPr="00F438BC">
        <w:rPr>
          <w:rFonts w:ascii="Arial" w:hAnsi="Arial" w:cs="Arial"/>
          <w:color w:val="000000" w:themeColor="text1"/>
          <w:sz w:val="20"/>
          <w:szCs w:val="20"/>
          <w:highlight w:val="cyan"/>
        </w:rPr>
        <w:lastRenderedPageBreak/>
        <w:t>wszystkich danych dotychczasowo występujących na fakturze dla poszczególnych PPE,</w:t>
      </w:r>
      <w:r w:rsidRPr="00F438BC">
        <w:rPr>
          <w:rFonts w:ascii="Arial" w:hAnsi="Arial" w:cs="Arial"/>
          <w:color w:val="000000" w:themeColor="text1"/>
          <w:sz w:val="20"/>
          <w:szCs w:val="20"/>
        </w:rPr>
        <w:t xml:space="preserve"> zgodnie z jednomiesięcznym  okresem rozliczeniowym.</w:t>
      </w:r>
    </w:p>
    <w:p w:rsidR="00D470BB" w:rsidRPr="00152F01" w:rsidRDefault="00D470BB" w:rsidP="00F438BC">
      <w:pPr>
        <w:pStyle w:val="Akapitzlist"/>
        <w:numPr>
          <w:ilvl w:val="0"/>
          <w:numId w:val="3"/>
        </w:numPr>
        <w:spacing w:line="276" w:lineRule="auto"/>
        <w:ind w:left="709" w:right="-2" w:hanging="283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Wykonawca dostarcza faktury na adres 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Nabywcy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. Zamawiający wyraża zgodę na dostarczanie faktur VAT za pośrednictwem k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anałów elektronicznych na podany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6F77" w:rsidRPr="00152F01">
        <w:rPr>
          <w:rFonts w:ascii="Arial" w:hAnsi="Arial" w:cs="Arial"/>
          <w:color w:val="000000" w:themeColor="text1"/>
          <w:sz w:val="20"/>
          <w:szCs w:val="20"/>
        </w:rPr>
        <w:t>przez Zamawiającego  adres poczty elektronicznej: ksiaznica@ksiaznicapodlaska.pl</w:t>
      </w:r>
    </w:p>
    <w:p w:rsidR="00D470BB" w:rsidRPr="00152F01" w:rsidRDefault="00D470BB" w:rsidP="00F438BC">
      <w:pPr>
        <w:pStyle w:val="Akapitzlist"/>
        <w:numPr>
          <w:ilvl w:val="0"/>
          <w:numId w:val="3"/>
        </w:numPr>
        <w:spacing w:line="276" w:lineRule="auto"/>
        <w:ind w:left="709" w:right="-2" w:hanging="283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Termin płatności faktury: 14 dni.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Ustrukturyzowana faktura elektroniczna składa się z danych wymaganych przepisami o podatku od towarów i usług oraz danych zawierających:</w:t>
      </w:r>
    </w:p>
    <w:p w:rsidR="00D470BB" w:rsidRPr="00152F01" w:rsidRDefault="00D470BB" w:rsidP="00D470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informacje dotyczące odbiorcy płatności;</w:t>
      </w:r>
    </w:p>
    <w:p w:rsidR="00D470BB" w:rsidRPr="00152F01" w:rsidRDefault="00D470BB" w:rsidP="00D470B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wskazanie umowy zamówienia publicznego.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 termin zapłaty faktury uznaje się dzień wpływu środków na konto Wykonawcy.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Wykonawca zobowiązany jest do: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sprzedaży energii elektrycznej zgodnie z obowiązującymi standardami określonymi w aktach wykonawczych do ustawy Prawo energetyczne,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przyjmowania zgłoszeń i reklamacji Zamawiającego,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niezwłocznego przekazywania Zamawiającemu informacji mających istotny wpływ na realizację umowy,</w:t>
      </w:r>
    </w:p>
    <w:p w:rsidR="00D470BB" w:rsidRPr="00152F01" w:rsidRDefault="00D470BB" w:rsidP="00D470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posiadania w trakcie realizacji zamówienia, ubezpieczenia od odpowiedzialności cywilnej w zakresie prowadzonej działalności związanej z przedmiotem zamówienia.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zobowiązany jest do: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pobierania mocy i energii elektrycznej zgodnie z obowiązującymi przepisami i na warunkach określonych w zawartej umowie,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utrzymywania należącej do niego sieci, wewnętrznej instalacji zasilającej i odbiorczej w należytym stanie technicznym,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terminowego regulowania należności za energię elektryczną oraz innych należności związanych z dostarczeniem tej energii,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utrzymywania użytkowanej nieruchomości w sposób niepowodujący utrudnień w prawidłowym funkcjonowaniu sieci, a w szczególności do zachowania wymaganych odległości od istniejących urządzeń i instalacji, w przypadku stawiania obiektów budowlanych i sadzenia drzew, zgodnie z wymaganymi określonymi w przepisach Prawa budowlanego, powierzania budowy lub dokonywania zmian w instalacji elektrycznej osobom posiadającym odpowiednie uprawnienia i kwalifikacje,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umożliwienia upoważnionym przedstawicielom Wykonawcy dostępu, wraz z niezbędnym sprzętem do należących do niego elementów sieci i urządzeń znajdujących się na terenie lub obiekcie Zamawiającego w celu przeprowadzenia prac eksploatacyjnych lub usunięcia awarii w sieci lub do układu pomiarowo-rozliczeniowego,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zabezpieczenia przed uszkodzeniem układu pomiarowo-rozliczeniowego i zabezpieczeń głównych, jeżeli znajdują się na terenie lub w obiekcie Zamawiającego,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niezwłocznego poinformowania Wykonawcy o zauważonych wadach lub usterkach w układzie pomiarowo-rozliczeniowym i innych okolicznościach mających wpływ na możliwość niewłaściwego rozliczenia za energię elektryczną oraz o powstałych przerwach w dostarczeniu energii elektrycznej lub niewłaściwych jej parametrach,</w:t>
      </w:r>
    </w:p>
    <w:p w:rsidR="00D470BB" w:rsidRPr="00152F01" w:rsidRDefault="00D470BB" w:rsidP="00D470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dostosowania swoich urządzeń do zmienionych warunków funkcjonowania sieci, o których został uprzednio powiadomiony.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Umowa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może być rozwiązana: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przez Wykonawcę w przypadku rażącego i uporczywego niewykonywania lub rażącego i uporczywego nienależytego wykonania umowy przez Zamawiającego,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może odstąpić od umowy w przypadku wystąpienia istotnej zmiany okoliczności powodującej, że wykonanie umowy nie leży w interesie publicznym, czego nie można było przewidzieć w chwili zawarcia umowy. Zamawiający może odstąpić od umowy w terminie 30 dni od powzięcia wiadomości o tych okolicznościach. W przypadku takim, Wykonawca może żądać wyłącznie wynagrodzenia należnego z tytułu wykonania części umowy,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przez Zamawiającego w razie ogłoszenia upadłości lub likwidacji Wykonawcy,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przez Zamawiającego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w razie wydania nakazu zajęcia majątku Wykonawcy, lub wszczęto przeciw Wykonawcy postępowanie egzekucyjne zagrażające realizacji Przedmiotu Umowy,</w:t>
      </w:r>
    </w:p>
    <w:p w:rsidR="00D470BB" w:rsidRPr="00152F01" w:rsidRDefault="00D470BB" w:rsidP="00D470B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przez Zamawiającego w przypadku zaprzestania realizacji przedmiotu umowy przez Wykonawcę.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Zmiana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istotnych postanowień Umowy jest możliwa w następujących przypadkach: 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Zamawiający zastrzega możliwość zmiany treści umowy w odniesieniu do zakresu przedmiotu zamówienia, tj. zmiany prognozowanej wielkości zużycia energii elektrycznej, wynikającej m.in. ze zmiany (zmniejszenia lub zwiększenia) ilości miejsc dostarczania energii elektrycznej (przyłączy, punktów poboru), dostaw i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innych obiektów niewskazanych w Załączniku do umowy lub w sytuacji zwiększenia dostaw wraz z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przesyłem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obiektu w związku z dokonaną rozbudową, przebudową obiektu itd. 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Zwiększenie ilości punktów poboru energii lub zmiana grupy taryfowej możliwe są jedynie w obrębie grup taryfowych, które zostały ujęte w SWZ oraz wycenione w Formularzu Ofertowym Wykonawcy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. Zmiany, o których mowa powyżej dokonywane są na podstawie aneksu do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Zamawiający zastrzega również możliwość zmiany treści umowy dot. ceny za dystrybucję energii w przypadku zmiany taryfy dystrybucji Operatora Systemu Dystrybucyjnego zatwierdzonej przez Prezesa Urzędu Regulacji Energetyki, z zastrzeżeniem obowiązywania w całym okresie obowiązywania umowy podanej w ofercie Wykonawcy wielkości 100 % ceny taryfowej zastosowanej do obliczenia ceny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energii. Zmiana cen dokonana przez odpowiedni organ (dostawy i 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) nie wymaga zmiany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Określone w SWZ parametry dystrybucyjne poszczególnych PPE są zgodne z obowiązującymi umowami. W przypadku gdy zmiana parametrów dystrybucyjnych wiązać się będzie z koniecznością ponoszenia dodatkowych opłat zgodnie z taryfą OSD Zamawiający zobowiązany będzie do ich uiszczenia.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dopuszcza także zmiany treści umowy w przypadku okoliczności, których nie można przewidzieć na etapie wszczęcia postępowania m.in. związanych z procedurami, zmianami organizacyjnymi i uwarunkowaniami wewnętrznymi Zamawiającego np. zaprzestanie dostaw i </w:t>
      </w:r>
      <w:proofErr w:type="spellStart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przesyłu</w:t>
      </w:r>
      <w:proofErr w:type="spellEnd"/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energii do jednego lub kilku obiektów wskazanych w Załączniku ze względu np. na wyłączenie obiektu z eksploatacji.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zastrzega zmiany treści umowy w przypadkach, gdy zaistnieje istotna zmiana okoliczności powodująca, że wykonanie umowy w dotychczasowym brzmieniu nie leży w interesie publicznym, czego nie można było przewidzieć w chwili zawarcia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Zamawiający przewiduje możliwość zmiany postanowień umowy w stosunku do treści oferty w przypadkach, gdy:</w:t>
      </w:r>
    </w:p>
    <w:p w:rsidR="00D470BB" w:rsidRPr="00152F01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powszechnie obowiązujących przepisów prawa w zakresie mającym wpływ na realizację przedmiotu zamówienia;</w:t>
      </w:r>
    </w:p>
    <w:p w:rsidR="00D470BB" w:rsidRPr="00152F01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stawki podatku VAT lub ustawowa zmiana opodatkowania energii elektrycznej podatkiem akcyzowym oraz w przypadku ogólnie obowiązujących przepisów prawa, a w szczególności zmiany ustawy Prawo Energetyczne, Ustawy o efektywności energetycznej lub przepisów wykonawczych wprowadzających dodatkowe obowiązki związane z zakupem praw majątkowych lub certyfikatów dotyczących efektywności energetycznej. Ceny energii elektrycznej zostają powiększone o kwotę wynikającą z obowiązków nałożonych właściwymi przepisami, od dnia ich wejścia w życie, bez konieczności sporządzania aneksu do umowy, o czym Zamawiający zostanie poinformowany na piśmie;</w:t>
      </w:r>
    </w:p>
    <w:p w:rsidR="00D470BB" w:rsidRPr="00152F01" w:rsidRDefault="00D470BB" w:rsidP="00D470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nastąpi zmiana taryfy OSD.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Zmiana mocy przyłączeniowej nastąpi po dokonaniu przez Zamawiającego wszelkich czynności związanych ze zmianą warunków przyłączenia u OSD i przedstawieniu „Potwierdzenia możliwości świadczenia usługi dystrybucji i określenie parametrów technicznych dostaw” lub wydaniu decyzji przez OSD. Zmiana warunków przyłączeniowych wiązać się może z koniecznością dostosowania kosztem Odbiorcy, na warunkach określonych przez OSD, urządzeń elektroenergetycznych (w tym układu pomiarowo-rozliczeniowego dla grup </w:t>
      </w: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lastRenderedPageBreak/>
        <w:t>przyłączeniowych II i III) do nowych warunków dostarczania energii elektrycznej lub realizacji nowych warunków przyłączenia oraz z koniecznością zawarcia nowej umowy kompleksowej.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Zamawiający zastrzega sobie możliwość zmniejszenia ilości dostaw przedmiotu zamówienia wyszczególnionego w dokumentach postępowania, stosownie do rzeczywistych potrzeb, a tym samym zmniejszenia wartości umowy. Łączna wartość wykonanych dostaw będzie nie mniejsza niż 70% wartości umowy.</w:t>
      </w:r>
    </w:p>
    <w:p w:rsidR="00D470BB" w:rsidRPr="00152F01" w:rsidRDefault="00D470BB" w:rsidP="00D470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lang w:eastAsia="pl-PL"/>
        </w:rPr>
        <w:t>W przypadku zaistnienia w/w okoliczności zmiany umowy będą miały charakter obligatoryjny.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Wszelkie zmiany w umowie wymagają pod rygorem nieważności formy aneksu podpisanego przez obie strony, z zastrzeżeniem </w:t>
      </w:r>
      <w:r w:rsidR="002B1399" w:rsidRPr="00152F01">
        <w:rPr>
          <w:rFonts w:ascii="Arial" w:hAnsi="Arial" w:cs="Arial"/>
          <w:color w:val="000000" w:themeColor="text1"/>
          <w:sz w:val="20"/>
          <w:szCs w:val="20"/>
        </w:rPr>
        <w:t>ust. 20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pkt. 6 b).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Strony zgodnie postanawiają, że przewidywane wynagrodzenie Wykonawcy z tytułu przedmiotowej umowy ustalone w oparciu o szacowany pobór energii elektrycznej dla wszystkich punktów poboru energii elektrycznej opisanych w załączniku nr 1 do umowy wyniesie </w:t>
      </w:r>
      <w:r w:rsidRPr="00152F01">
        <w:rPr>
          <w:rFonts w:ascii="Arial" w:hAnsi="Arial" w:cs="Arial"/>
          <w:b/>
          <w:color w:val="000000" w:themeColor="text1"/>
          <w:sz w:val="20"/>
          <w:szCs w:val="20"/>
        </w:rPr>
        <w:t xml:space="preserve">brutto ……………………zł 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152F01">
        <w:rPr>
          <w:rFonts w:ascii="Arial" w:hAnsi="Arial" w:cs="Arial"/>
          <w:b/>
          <w:color w:val="000000" w:themeColor="text1"/>
          <w:sz w:val="20"/>
          <w:szCs w:val="20"/>
        </w:rPr>
        <w:t>słownie</w:t>
      </w:r>
      <w:r w:rsidRPr="00152F01">
        <w:rPr>
          <w:rFonts w:ascii="Arial" w:hAnsi="Arial" w:cs="Arial"/>
          <w:color w:val="000000" w:themeColor="text1"/>
          <w:sz w:val="20"/>
          <w:szCs w:val="20"/>
        </w:rPr>
        <w:t>:………………………………………..).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Wynagrodzenie wykonawcy ma charakter orientacyjny (szacunkowy) i określenie jego kwoty nie będzie stanowić podstaw rozliczeń. Wynagrodzenie, które będzie przysługiwało Wykonawcy określone zostanie na podstawie faktycznej ilości poboru energii oraz ceny jednostkowej Wykonawcy.</w:t>
      </w:r>
    </w:p>
    <w:p w:rsidR="00D470BB" w:rsidRPr="00152F01" w:rsidRDefault="004D0814" w:rsidP="004D081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highlight w:val="cyan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 xml:space="preserve">Strony ponoszą wobec siebie odpowiedzialność odszkodowawczą na zasadach ogólnych do wielkości </w:t>
      </w:r>
      <w:r w:rsidR="00580D1E"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>poniesionej</w:t>
      </w: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 xml:space="preserve"> szkody (straty).</w:t>
      </w:r>
    </w:p>
    <w:p w:rsidR="009A1019" w:rsidRPr="00152F01" w:rsidRDefault="009A1019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highlight w:val="cyan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>(Usunięty)</w:t>
      </w:r>
      <w:r w:rsidR="00BC742D">
        <w:rPr>
          <w:rFonts w:ascii="Arial" w:hAnsi="Arial" w:cs="Arial"/>
          <w:color w:val="000000" w:themeColor="text1"/>
          <w:sz w:val="20"/>
          <w:szCs w:val="20"/>
          <w:highlight w:val="cyan"/>
        </w:rPr>
        <w:t>.</w:t>
      </w:r>
      <w:bookmarkStart w:id="0" w:name="_GoBack"/>
      <w:bookmarkEnd w:id="0"/>
    </w:p>
    <w:p w:rsidR="009A1019" w:rsidRPr="00152F01" w:rsidRDefault="009A1019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highlight w:val="cyan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>(Usunięty)</w:t>
      </w:r>
      <w:r w:rsidR="00BC742D">
        <w:rPr>
          <w:rFonts w:ascii="Arial" w:hAnsi="Arial" w:cs="Arial"/>
          <w:color w:val="000000" w:themeColor="text1"/>
          <w:sz w:val="20"/>
          <w:szCs w:val="20"/>
          <w:highlight w:val="cyan"/>
        </w:rPr>
        <w:t>.</w:t>
      </w:r>
    </w:p>
    <w:p w:rsidR="009A1019" w:rsidRPr="00152F01" w:rsidRDefault="009A1019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highlight w:val="cyan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>(Usunięty)</w:t>
      </w:r>
      <w:r w:rsidR="00BC742D">
        <w:rPr>
          <w:rFonts w:ascii="Arial" w:hAnsi="Arial" w:cs="Arial"/>
          <w:color w:val="000000" w:themeColor="text1"/>
          <w:sz w:val="20"/>
          <w:szCs w:val="20"/>
          <w:highlight w:val="cyan"/>
        </w:rPr>
        <w:t>.</w:t>
      </w:r>
    </w:p>
    <w:p w:rsidR="009A1019" w:rsidRPr="00152F01" w:rsidRDefault="009A1019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  <w:highlight w:val="cyan"/>
        </w:rPr>
      </w:pP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>(Usunięty)</w:t>
      </w:r>
      <w:r w:rsidR="00BC742D">
        <w:rPr>
          <w:rFonts w:ascii="Arial" w:hAnsi="Arial" w:cs="Arial"/>
          <w:color w:val="000000" w:themeColor="text1"/>
          <w:sz w:val="20"/>
          <w:szCs w:val="20"/>
          <w:highlight w:val="cyan"/>
        </w:rPr>
        <w:t>.</w:t>
      </w:r>
      <w:r w:rsidRPr="00152F01">
        <w:rPr>
          <w:rFonts w:ascii="Arial" w:hAnsi="Arial" w:cs="Arial"/>
          <w:color w:val="000000" w:themeColor="text1"/>
          <w:sz w:val="20"/>
          <w:szCs w:val="20"/>
          <w:highlight w:val="cyan"/>
        </w:rPr>
        <w:t xml:space="preserve"> 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W sprawach nieuregulowanych w umowie mają zastosowanie przepisy ustawy Prawo zamówień publicznych, Prawo energetyczne, Kodeksu cywilnego.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Spory powstałe w trakcie realizacji niniejszej umowy rozpatrywać będzie rzeczowo sąd cywilny właściwy dla siedziby Zamawiającego.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Umowa zostaje sporządzona w 2 jednobrzmiących egzemplarzach, w tym 1 egzemplarz dla Zamawiającego i 1 egzemplarz dla Wykonawcy.</w:t>
      </w:r>
    </w:p>
    <w:p w:rsidR="00D470BB" w:rsidRPr="00152F01" w:rsidRDefault="00D470BB" w:rsidP="00D470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152F01">
        <w:rPr>
          <w:rFonts w:ascii="Arial" w:hAnsi="Arial" w:cs="Arial"/>
          <w:color w:val="000000" w:themeColor="text1"/>
          <w:sz w:val="20"/>
          <w:szCs w:val="20"/>
        </w:rPr>
        <w:t>Załącznikiem do umowy jest Oferta Wykonawcy.</w:t>
      </w:r>
    </w:p>
    <w:p w:rsidR="00D74678" w:rsidRPr="00152F01" w:rsidRDefault="00D74678">
      <w:pPr>
        <w:rPr>
          <w:rFonts w:ascii="Arial" w:hAnsi="Arial" w:cs="Arial"/>
          <w:sz w:val="20"/>
          <w:szCs w:val="20"/>
        </w:rPr>
      </w:pPr>
    </w:p>
    <w:sectPr w:rsidR="00D74678" w:rsidRPr="00152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AF" w:rsidRDefault="00D62FAF" w:rsidP="00D470BB">
      <w:pPr>
        <w:spacing w:line="240" w:lineRule="auto"/>
      </w:pPr>
      <w:r>
        <w:separator/>
      </w:r>
    </w:p>
  </w:endnote>
  <w:endnote w:type="continuationSeparator" w:id="0">
    <w:p w:rsidR="00D62FAF" w:rsidRDefault="00D62FAF" w:rsidP="00D47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AF" w:rsidRDefault="00D62FAF" w:rsidP="00D470BB">
      <w:pPr>
        <w:spacing w:line="240" w:lineRule="auto"/>
      </w:pPr>
      <w:r>
        <w:separator/>
      </w:r>
    </w:p>
  </w:footnote>
  <w:footnote w:type="continuationSeparator" w:id="0">
    <w:p w:rsidR="00D62FAF" w:rsidRDefault="00D62FAF" w:rsidP="00D47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BB" w:rsidRDefault="00D470BB" w:rsidP="00D470BB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B90"/>
    <w:multiLevelType w:val="hybridMultilevel"/>
    <w:tmpl w:val="81760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5052D6"/>
    <w:multiLevelType w:val="multilevel"/>
    <w:tmpl w:val="9BDA8ED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B70324E"/>
    <w:multiLevelType w:val="hybridMultilevel"/>
    <w:tmpl w:val="817608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ED7196"/>
    <w:multiLevelType w:val="hybridMultilevel"/>
    <w:tmpl w:val="64A45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9A41B4"/>
    <w:multiLevelType w:val="hybridMultilevel"/>
    <w:tmpl w:val="C64872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A87B51"/>
    <w:multiLevelType w:val="hybridMultilevel"/>
    <w:tmpl w:val="4C3E5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61490"/>
    <w:multiLevelType w:val="hybridMultilevel"/>
    <w:tmpl w:val="2D08EF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3C944DA"/>
    <w:multiLevelType w:val="hybridMultilevel"/>
    <w:tmpl w:val="2A8EC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D32AE"/>
    <w:multiLevelType w:val="hybridMultilevel"/>
    <w:tmpl w:val="D9F6353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7B3C104E"/>
    <w:multiLevelType w:val="hybridMultilevel"/>
    <w:tmpl w:val="8A427F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EE13FB6"/>
    <w:multiLevelType w:val="hybridMultilevel"/>
    <w:tmpl w:val="C87CB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DC"/>
    <w:rsid w:val="00152F01"/>
    <w:rsid w:val="002B1399"/>
    <w:rsid w:val="003A16BA"/>
    <w:rsid w:val="003B4907"/>
    <w:rsid w:val="004214D4"/>
    <w:rsid w:val="00451BEA"/>
    <w:rsid w:val="00496A72"/>
    <w:rsid w:val="004A6F77"/>
    <w:rsid w:val="004D0814"/>
    <w:rsid w:val="00580D1E"/>
    <w:rsid w:val="00666695"/>
    <w:rsid w:val="008334A5"/>
    <w:rsid w:val="00933EFE"/>
    <w:rsid w:val="009A1019"/>
    <w:rsid w:val="009F3721"/>
    <w:rsid w:val="00A92ADC"/>
    <w:rsid w:val="00BC742D"/>
    <w:rsid w:val="00CB44D5"/>
    <w:rsid w:val="00CD7700"/>
    <w:rsid w:val="00D16F10"/>
    <w:rsid w:val="00D470BB"/>
    <w:rsid w:val="00D62FAF"/>
    <w:rsid w:val="00D74678"/>
    <w:rsid w:val="00D94EB7"/>
    <w:rsid w:val="00E5121E"/>
    <w:rsid w:val="00EB1A41"/>
    <w:rsid w:val="00ED700F"/>
    <w:rsid w:val="00EF5249"/>
    <w:rsid w:val="00F438BC"/>
    <w:rsid w:val="00F70B17"/>
    <w:rsid w:val="00F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C202"/>
  <w15:chartTrackingRefBased/>
  <w15:docId w15:val="{ACA70E51-168B-4314-AB1F-F219899C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0BB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70BB"/>
    <w:pPr>
      <w:keepNext/>
      <w:keepLines/>
      <w:numPr>
        <w:numId w:val="1"/>
      </w:numPr>
      <w:spacing w:before="240" w:line="276" w:lineRule="auto"/>
      <w:ind w:left="426" w:right="-1" w:hanging="142"/>
      <w:outlineLvl w:val="0"/>
    </w:pPr>
    <w:rPr>
      <w:rFonts w:eastAsia="Times New Roman"/>
      <w:b/>
      <w:bCs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70B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70B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70B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70B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70B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70B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70B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70B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470BB"/>
    <w:rPr>
      <w:rFonts w:ascii="Times New Roman" w:eastAsia="Times New Roman" w:hAnsi="Times New Roman" w:cs="Times New Roman"/>
      <w:b/>
      <w:bCs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9"/>
    <w:rsid w:val="00D470B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470BB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470BB"/>
    <w:rPr>
      <w:rFonts w:ascii="Cambria" w:eastAsia="Times New Roman" w:hAnsi="Cambria" w:cs="Cambria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D470BB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D470BB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D470BB"/>
    <w:rPr>
      <w:rFonts w:ascii="Cambria" w:eastAsia="Times New Roman" w:hAnsi="Cambria" w:cs="Cambria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D470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D470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kapitzlist">
    <w:name w:val="List Paragraph"/>
    <w:aliases w:val="Akapit z listą BS,CW_Lista,Akapit z listą1,List Paragraph"/>
    <w:basedOn w:val="Normalny"/>
    <w:link w:val="AkapitzlistZnak"/>
    <w:uiPriority w:val="34"/>
    <w:qFormat/>
    <w:rsid w:val="00D470BB"/>
    <w:pPr>
      <w:ind w:left="284"/>
    </w:pPr>
  </w:style>
  <w:style w:type="character" w:customStyle="1" w:styleId="AkapitzlistZnak">
    <w:name w:val="Akapit z listą Znak"/>
    <w:aliases w:val="Akapit z listą BS Znak,CW_Lista Znak,Akapit z listą1 Znak,List Paragraph Znak"/>
    <w:link w:val="Akapitzlist"/>
    <w:uiPriority w:val="34"/>
    <w:qFormat/>
    <w:locked/>
    <w:rsid w:val="00D470BB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70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0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0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Książnica Podlaska</Company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p.wilczewski</dc:creator>
  <cp:keywords/>
  <dc:description/>
  <cp:lastModifiedBy>p.wilczewski</cp:lastModifiedBy>
  <cp:revision>12</cp:revision>
  <dcterms:created xsi:type="dcterms:W3CDTF">2022-10-31T09:42:00Z</dcterms:created>
  <dcterms:modified xsi:type="dcterms:W3CDTF">2022-11-02T10:16:00Z</dcterms:modified>
</cp:coreProperties>
</file>